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ascii="Times New Roman" w:hAnsi="Times New Roman" w:eastAsia="仿宋_GB2312"/>
          <w:bCs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_GB2312"/>
          <w:bCs/>
          <w:color w:val="333333"/>
          <w:kern w:val="0"/>
          <w:sz w:val="30"/>
          <w:szCs w:val="30"/>
        </w:rPr>
        <w:t>附件1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2022年度教职工师德考核和年度考核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等级的评定和应用</w:t>
      </w:r>
    </w:p>
    <w:p>
      <w:pPr>
        <w:widowControl/>
        <w:shd w:val="clear" w:color="auto" w:fill="FFFFFF"/>
        <w:spacing w:line="480" w:lineRule="exact"/>
        <w:ind w:firstLine="585"/>
        <w:jc w:val="left"/>
        <w:rPr>
          <w:rFonts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ind w:firstLine="585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bCs/>
          <w:color w:val="333333"/>
          <w:kern w:val="0"/>
          <w:sz w:val="32"/>
          <w:szCs w:val="32"/>
        </w:rPr>
        <w:t>一、考核等级和先进的评定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 考核等级分为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”、“</w:t>
      </w:r>
      <w:r>
        <w:rPr>
          <w:rFonts w:ascii="Times New Roman" w:hAnsi="Times New Roman" w:eastAsia="仿宋_GB2312"/>
          <w:kern w:val="0"/>
          <w:sz w:val="32"/>
          <w:szCs w:val="32"/>
        </w:rPr>
        <w:t>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”、“</w:t>
      </w:r>
      <w:r>
        <w:rPr>
          <w:rFonts w:ascii="Times New Roman" w:hAnsi="Times New Roman" w:eastAsia="仿宋_GB2312"/>
          <w:kern w:val="0"/>
          <w:sz w:val="32"/>
          <w:szCs w:val="32"/>
        </w:rPr>
        <w:t>基本合格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不合格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四个等级，其中：师德考核等级为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的人数比例不超过本单位参加师德考核人数的30%；年度考核等级为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的人数不超过本单位参加年度考核人数（不含参加考核但不定考核等级的人员）的20%。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各单位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在师德考核优秀人员中遴选年度考核优秀人员，在年度考核优秀人员中遴选院级优秀工作者，在</w:t>
      </w:r>
      <w:r>
        <w:rPr>
          <w:rFonts w:ascii="Times New Roman" w:hAnsi="Times New Roman" w:eastAsia="仿宋_GB2312"/>
          <w:kern w:val="0"/>
          <w:sz w:val="32"/>
          <w:szCs w:val="32"/>
        </w:rPr>
        <w:t>院级先进工作者中遴选校级先进工作者候选人。院级先进工作者名额不超过本单位参加年度考核总人数的10%，校级先进工作者名额不超过本单位院级先进工作者人数的10%。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年度考核优秀档次名额应当向一线岗位、艰苦岗位以及获得表彰奖励的人员倾斜。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在站学科博士后、行政专员、校本部人才派遣员工和教师事务服务专员纳入教职工统一考核，计入优秀、先进评选基数，各学院（系）、单位在进行评选时应保证其名额，不能占用。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 有下列情况之一者，年度考核为不合格：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（1）师德考核不合格的；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（2）造成重大教学或科研、医疗责任事故或在工作中造成严重失误的；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（3）兼职担任辅导员、班主任、德育导师及本科生导师的，工作考核不合格的；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（4）不愿承担学院安排的教学任务或教学工作考核不合格的；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（5）难以适应工作要求，不能完成本职工作的；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（6）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教师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在考核年度内本人实际完成的业绩低于院系（单位）规定的所聘岗位的基本业绩要求的；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累计旷工15个工作日及以上，或连续旷工7个工作日及以上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； 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（8）无正当理由不参加学校年度考核的；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（9）已经连续两年年度考核为基本合格，今年仍无明显改进的；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（10）其它可以确定为不合格的。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根据《浙江大学教职工考勤与请假管理办法（试行）》（浙大发人〔2022〕43号）规定，教职工事假累计超过 22个工作日，当年年度考核为基本合格或不合格；事假累计超过60个工作日，当年年度考核为不合格。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5. 考核年度内违反党纪校规受到处分的，按上级有关规定精神和学校文件处理。</w:t>
      </w:r>
    </w:p>
    <w:p>
      <w:pPr>
        <w:widowControl/>
        <w:shd w:val="clear" w:color="auto" w:fill="FFFFFF"/>
        <w:spacing w:line="600" w:lineRule="exact"/>
        <w:ind w:firstLine="585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二、考核结果应用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考核结果是教职工合同续聘、奖励、晋职、晋级和正常晋升工资档次、年终绩效奖励津贴、岗位聘任等级调整等的主要依据。</w:t>
      </w:r>
    </w:p>
    <w:p>
      <w:pPr>
        <w:widowControl/>
        <w:shd w:val="clear" w:color="auto" w:fill="FFFFFF"/>
        <w:spacing w:line="600" w:lineRule="exact"/>
        <w:ind w:firstLine="60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 在岗位聘任、职称评聘、合同期满考核、干部选拔、研究生导师资格审核、评奖评优、人才项目申报等环节，应从严从实使用师德考核结果。</w:t>
      </w:r>
    </w:p>
    <w:p>
      <w:pPr>
        <w:widowControl/>
        <w:shd w:val="clear" w:color="auto" w:fill="FFFFFF"/>
        <w:spacing w:line="600" w:lineRule="exact"/>
        <w:ind w:firstLine="60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 年度考核等级为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不合格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的停发下一年度岗位津贴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年度考核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基本合格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的，可以下调下一年度的聘岗等级或岗位津贴标准；年度考核等级为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基本合格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及以下的，不得晋升薪级工资，不享受年终绩效奖励津贴。</w:t>
      </w:r>
    </w:p>
    <w:p>
      <w:pPr>
        <w:widowControl/>
        <w:shd w:val="clear" w:color="auto" w:fill="FFFFFF"/>
        <w:spacing w:line="600" w:lineRule="exact"/>
        <w:ind w:firstLine="600"/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 年度考核不合格，单位可以调整工作岗位。年度考核不合格且不同意调整工作岗位，或者连续两年年度不合格，单位可以解除聘用合同。</w:t>
      </w:r>
    </w:p>
    <w:p>
      <w:pPr>
        <w:rPr>
          <w:color w:val="000000"/>
        </w:rPr>
      </w:pPr>
    </w:p>
    <w:p>
      <w:pPr>
        <w:spacing w:line="60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</w:rPr>
                      <w:t>9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TM5MTA2MWJjMjQ2Y2YwMjE0MDdiNmVlOTRhMzgifQ=="/>
  </w:docVars>
  <w:rsids>
    <w:rsidRoot w:val="442F7CCC"/>
    <w:rsid w:val="11A11ABE"/>
    <w:rsid w:val="442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1120</Characters>
  <Lines>0</Lines>
  <Paragraphs>0</Paragraphs>
  <TotalTime>2</TotalTime>
  <ScaleCrop>false</ScaleCrop>
  <LinksUpToDate>false</LinksUpToDate>
  <CharactersWithSpaces>1130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2022-12-06T10:37:00Z</dcterms:created>
  <dc:creator>家利</dc:creator>
  <cp:lastModifiedBy>ASUS A6521</cp:lastModifiedBy>
  <dcterms:modified xsi:type="dcterms:W3CDTF">2022-12-07T01:17:47Z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1248D41759BF4C0DBFE55CFD757ED38C</vt:lpwstr>
  </property>
</Properties>
</file>